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393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организации охраны объектов, подлежащих обязательной охране </w:t>
      </w:r>
      <w:r>
        <w:rPr>
          <w:rStyle w:val="cat-UserDefinedgrp-5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учреждения «</w:t>
      </w:r>
      <w:r>
        <w:rPr>
          <w:rStyle w:val="cat-UserDefinedgrp-4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4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5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Style w:val="cat-UserDefinedgrp-5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директором МУ «</w:t>
      </w:r>
      <w:r>
        <w:rPr>
          <w:rStyle w:val="cat-UserDefinedgrp-5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ХМАО-Югра, Тюменская область, Сургутский район, </w:t>
      </w:r>
      <w:r>
        <w:rPr>
          <w:rStyle w:val="cat-UserDefinedgrp-52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предпринял все зависящие от него меры по соблюдению исполнения законодательства в области антитеррористической защищенности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а культуры – дом культуры «</w:t>
      </w:r>
      <w:r>
        <w:rPr>
          <w:rStyle w:val="cat-UserDefinedgrp-5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МУ «</w:t>
      </w:r>
      <w:r>
        <w:rPr>
          <w:rStyle w:val="cat-UserDefinedgrp-5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выразившиеся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форме бездействия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осуществления актуализации паспорта безопасности объекта Дом культуры «</w:t>
      </w:r>
      <w:r>
        <w:rPr>
          <w:rStyle w:val="cat-UserDefinedgrp-5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 МУ «</w:t>
      </w:r>
      <w:r>
        <w:rPr>
          <w:rStyle w:val="cat-UserDefinedgrp-5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нарушение п. 45 постановления Правительства РФ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 Действие (бездействие)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МУ «</w:t>
      </w:r>
      <w:r>
        <w:rPr>
          <w:rStyle w:val="cat-UserDefinedgrp-5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Титовского Владислава Васильевича не относятся к случаям, предусмотренным ч. 2 ст. 20.35 КоАП РФ, статьям 11.15.1 и 20.30 КоАП РФ, и не содержат признаков уголовно наказуемого деяния.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UserDefinedgrp-5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ился,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пояснил, что к настоящему времени паспорт безопасности объекта составлен и согласован.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охраны объектов, подлежащих обязательной охране </w:t>
      </w:r>
      <w:r>
        <w:rPr>
          <w:rStyle w:val="cat-UserDefinedgrp-57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54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пояснила, что 03.03.2025 года истек срок действия паспорта безопасности объекта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 которого является </w:t>
      </w:r>
      <w:r>
        <w:rPr>
          <w:rStyle w:val="cat-UserDefinedgrp-55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выдается на три года согласно постановлению Правительства № 176. Дата совершения правонарушения 04.04.2025 года. В стоящее время паспорт безопасности составлен и согласован.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/л.д.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29.04.2025 г. /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-16/, 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/л.д.11-13/,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паспорта безопасности 2022 года /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75/,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акта обследования 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/л.д.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о вступлении в должность директора от 09.01.2014 г. № 1лс, /л.д.-7/,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должностной инструкцией директора МУ «</w:t>
      </w:r>
      <w:r>
        <w:rPr>
          <w:rStyle w:val="cat-UserDefinedgrp-51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56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/л.д.7-12/;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о проведении проверки /л.д.18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выписки ЕГРЮЛ </w:t>
      </w:r>
      <w:r>
        <w:rPr>
          <w:rFonts w:ascii="Times New Roman" w:eastAsia="Times New Roman" w:hAnsi="Times New Roman" w:cs="Times New Roman"/>
          <w:sz w:val="28"/>
          <w:szCs w:val="28"/>
        </w:rPr>
        <w:t>МУ «</w:t>
      </w:r>
      <w:r>
        <w:rPr>
          <w:rStyle w:val="cat-UserDefinedgrp-51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видетельство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ОГРН, </w:t>
      </w:r>
      <w:r>
        <w:rPr>
          <w:rFonts w:ascii="Times New Roman" w:eastAsia="Times New Roman" w:hAnsi="Times New Roman" w:cs="Times New Roman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 «</w:t>
      </w:r>
      <w:r>
        <w:rPr>
          <w:rStyle w:val="cat-UserDefinedgrp-51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приеме на работу директора </w:t>
      </w:r>
      <w:r>
        <w:rPr>
          <w:rStyle w:val="cat-UserDefinedgrp-56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sz w:val="28"/>
          <w:szCs w:val="28"/>
        </w:rPr>
        <w:t>рудов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ом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изменениями </w:t>
      </w:r>
      <w:r>
        <w:rPr>
          <w:rStyle w:val="cat-UserDefinedgrp-56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sz w:val="28"/>
          <w:szCs w:val="28"/>
        </w:rPr>
        <w:t>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правк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нахождении директора на рабочем месте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12.11.2023 № 243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должностного лица, ответственного за выполнение мероприятий по обеспечению антитеррористической защищенности»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закреплении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>ыписк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ЕГРН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 о создании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ереписк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обследовании объекта от 2026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рапорта об обследовании объекта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акта обследования и категорирования объекта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листа согласования паспорта безопасности 2022 и акта обследования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карточки учета поручений Главы города.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антитеррористической защищенности объектов культуры утверждены ПП 176.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п. 3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остановлению Правительства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176, ответственность за обеспечение антитеррористической защищенности объектов (территорий) </w:t>
      </w:r>
      <w:r>
        <w:rPr>
          <w:rFonts w:ascii="Times New Roman" w:eastAsia="Times New Roman" w:hAnsi="Times New Roman" w:cs="Times New Roman"/>
          <w:sz w:val="28"/>
          <w:szCs w:val="28"/>
        </w:rPr>
        <w:t>возлагается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руководителей органов (организаций) в сфере культуры, являющихся правообладателями объектов (территории),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на должностных лиц, осуществляющих непосредственное руководство деятельностью работников объектов (территорий).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Концепцией противодействия терроризму в РФ, утвержденной Президентом РФ 05.10.2009 общегосударственная система противодействия терроризму представляет собой совокупность субъектов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 Федерального закона от 6 марта 2006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35-ФЗ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4 ст. 3 Федерального закона от 06.03.2006 № 35-ФЗ «О противодействии терроризму», противодействие терроризму это деятельность органов государственной власти и органов местного самоуправления, а также физических и юридических лиц по: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минимизации и (или) ликвидации последствий проявлений терроризма.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п.6 ст.3 Федерального закона от 06.03.2006 № 35-ФЗ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противодействии терроризму»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11 Концепции противодействия терроризму в Российской Федерации, утвержденной Президентом РФ 05.10.2009,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объектов с массовым пребыванием людей.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пункта 4 части 2 статьи 5 Федерального закона от 6 марта 2006 года № 35 - 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 4,6 ст. 3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06.03.2006 №35-ФЗ «О противодействии терроризму» противодействие терроризму -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терроризма), выявлению, предупреждению, пресечению, раскрытию и расследованию террористического акта (борьба с терроризмом), по минимизации и (или) ликвидации последствий проявлений терроризма.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>
      <w:pPr>
        <w:widowControl w:val="0"/>
        <w:spacing w:before="0" w:after="0"/>
        <w:ind w:firstLine="737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3.1 ст. 5 Федерального закона «О противодействии терроризму»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юридические лица выполняют требования к антитеррористической защищенности объектов (территорий), используемых для осуществления своей деятельности и находящихся в </w:t>
      </w:r>
      <w:r>
        <w:rPr>
          <w:rFonts w:ascii="Times New Roman" w:eastAsia="Times New Roman" w:hAnsi="Times New Roman" w:cs="Times New Roman"/>
          <w:sz w:val="28"/>
          <w:szCs w:val="28"/>
        </w:rPr>
        <w:t>их собственности или принадлежащих им на ином законном основании.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5 Устава МУ «</w:t>
      </w:r>
      <w:r>
        <w:rPr>
          <w:rStyle w:val="cat-UserDefinedgrp-51rplc-7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утвержденного, 14 марта 2018 г., разделом 3 должностной инструкции, утвержденной 10 января 2014 года, руководство деятельностью учреждения осуществляет директор, который без доверенности действует от имени учреждения, представляет его в государственных органах, органах местного самоуправления, организациях различных форм собственности, судах, органах дознания и следствия; использует имущество и распоряжается средствами учреждения, заключает договоры с организациями различных форм собственности, выдает доверенности, открывает лицевые счета; издает приказы и распоряжения, организует контроль за их исполнением; осуществляет функции работодателя в отношении работников учреждения, то есть выполняет организационно-распорядительные и административно-хозяйственные функции. В соответствии с разделом 5 должностной инструкции директор несет ответственность за жизнь и здоровье работников, за выполнение требований по технике безопасности, охране труда, санитарных норм; за действие, бездействие или неправильные действия, влекущие к нарушению прав и законных интересов граждан.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примечании к ст.2.4 КоАП РФ указано, что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несут административную ответственность как должностные лица.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sz w:val="28"/>
          <w:szCs w:val="28"/>
        </w:rPr>
        <w:t>алами дела об административном 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организации охраны объектов, подлежащих обязательной охране </w:t>
      </w:r>
      <w:r>
        <w:rPr>
          <w:rStyle w:val="cat-UserDefinedgrp-57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полагавш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что 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доказана собранными по делу доказательствами и 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sz w:val="28"/>
          <w:szCs w:val="28"/>
        </w:rPr>
        <w:t>привлечь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минимальном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7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действия не содержат признаков уголовно наказуемого деяния, </w:t>
      </w:r>
      <w:r>
        <w:rPr>
          <w:rFonts w:ascii="Times New Roman" w:eastAsia="Times New Roman" w:hAnsi="Times New Roman" w:cs="Times New Roman"/>
          <w:sz w:val="28"/>
          <w:szCs w:val="28"/>
        </w:rPr>
        <w:t>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56rplc-8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действия не содержат призна</w:t>
      </w:r>
      <w:r>
        <w:rPr>
          <w:rFonts w:ascii="Times New Roman" w:eastAsia="Times New Roman" w:hAnsi="Times New Roman" w:cs="Times New Roman"/>
          <w:sz w:val="28"/>
          <w:szCs w:val="28"/>
        </w:rPr>
        <w:t>ков уголовно наказуемого деяния.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4" w:anchor="/document/12125267/entry/2035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</w:t>
      </w:r>
      <w:hyperlink r:id="rId4" w:anchor="/document/12125267/entry/1115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11.15.1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4" w:anchor="/document/12125267/entry/203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20.30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является признание вины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устранение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лица, 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учреждения «</w:t>
      </w:r>
      <w:r>
        <w:rPr>
          <w:rStyle w:val="cat-UserDefinedgrp-48rplc-8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58rplc-8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 Кодекса Российской Федерации об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Style w:val="cat-UserDefinedgrp-59rplc-9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0412365400325000722620175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05-00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67622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57rplc-7">
    <w:name w:val="cat-UserDefined grp-57 rplc-7"/>
    <w:basedOn w:val="DefaultParagraphFont"/>
  </w:style>
  <w:style w:type="character" w:customStyle="1" w:styleId="cat-UserDefinedgrp-48rplc-10">
    <w:name w:val="cat-UserDefined grp-48 rplc-10"/>
    <w:basedOn w:val="DefaultParagraphFont"/>
  </w:style>
  <w:style w:type="character" w:customStyle="1" w:styleId="cat-UserDefinedgrp-49rplc-12">
    <w:name w:val="cat-UserDefined grp-49 rplc-12"/>
    <w:basedOn w:val="DefaultParagraphFont"/>
  </w:style>
  <w:style w:type="character" w:customStyle="1" w:styleId="cat-UserDefinedgrp-51rplc-13">
    <w:name w:val="cat-UserDefined grp-51 rplc-13"/>
    <w:basedOn w:val="DefaultParagraphFont"/>
  </w:style>
  <w:style w:type="character" w:customStyle="1" w:styleId="cat-UserDefinedgrp-50rplc-22">
    <w:name w:val="cat-UserDefined grp-50 rplc-22"/>
    <w:basedOn w:val="DefaultParagraphFont"/>
  </w:style>
  <w:style w:type="character" w:customStyle="1" w:styleId="cat-UserDefinedgrp-51rplc-23">
    <w:name w:val="cat-UserDefined grp-51 rplc-23"/>
    <w:basedOn w:val="DefaultParagraphFont"/>
  </w:style>
  <w:style w:type="character" w:customStyle="1" w:styleId="cat-UserDefinedgrp-52rplc-25">
    <w:name w:val="cat-UserDefined grp-52 rplc-25"/>
    <w:basedOn w:val="DefaultParagraphFont"/>
  </w:style>
  <w:style w:type="character" w:customStyle="1" w:styleId="cat-UserDefinedgrp-53rplc-27">
    <w:name w:val="cat-UserDefined grp-53 rplc-27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UserDefinedgrp-53rplc-29">
    <w:name w:val="cat-UserDefined grp-53 rplc-29"/>
    <w:basedOn w:val="DefaultParagraphFont"/>
  </w:style>
  <w:style w:type="character" w:customStyle="1" w:styleId="cat-UserDefinedgrp-51rplc-30">
    <w:name w:val="cat-UserDefined grp-51 rplc-30"/>
    <w:basedOn w:val="DefaultParagraphFont"/>
  </w:style>
  <w:style w:type="character" w:customStyle="1" w:styleId="cat-UserDefinedgrp-51rplc-32">
    <w:name w:val="cat-UserDefined grp-51 rplc-32"/>
    <w:basedOn w:val="DefaultParagraphFont"/>
  </w:style>
  <w:style w:type="character" w:customStyle="1" w:styleId="cat-UserDefinedgrp-50rplc-36">
    <w:name w:val="cat-UserDefined grp-50 rplc-36"/>
    <w:basedOn w:val="DefaultParagraphFont"/>
  </w:style>
  <w:style w:type="character" w:customStyle="1" w:styleId="cat-UserDefinedgrp-57rplc-37">
    <w:name w:val="cat-UserDefined grp-57 rplc-37"/>
    <w:basedOn w:val="DefaultParagraphFont"/>
  </w:style>
  <w:style w:type="character" w:customStyle="1" w:styleId="cat-UserDefinedgrp-54rplc-38">
    <w:name w:val="cat-UserDefined grp-54 rplc-38"/>
    <w:basedOn w:val="DefaultParagraphFont"/>
  </w:style>
  <w:style w:type="character" w:customStyle="1" w:styleId="cat-UserDefinedgrp-55rplc-42">
    <w:name w:val="cat-UserDefined grp-55 rplc-42"/>
    <w:basedOn w:val="DefaultParagraphFont"/>
  </w:style>
  <w:style w:type="character" w:customStyle="1" w:styleId="cat-UserDefinedgrp-56rplc-44">
    <w:name w:val="cat-UserDefined grp-56 rplc-44"/>
    <w:basedOn w:val="DefaultParagraphFont"/>
  </w:style>
  <w:style w:type="character" w:customStyle="1" w:styleId="cat-UserDefinedgrp-56rplc-49">
    <w:name w:val="cat-UserDefined grp-56 rplc-49"/>
    <w:basedOn w:val="DefaultParagraphFont"/>
  </w:style>
  <w:style w:type="character" w:customStyle="1" w:styleId="cat-UserDefinedgrp-51rplc-53">
    <w:name w:val="cat-UserDefined grp-51 rplc-53"/>
    <w:basedOn w:val="DefaultParagraphFont"/>
  </w:style>
  <w:style w:type="character" w:customStyle="1" w:styleId="cat-UserDefinedgrp-56rplc-54">
    <w:name w:val="cat-UserDefined grp-56 rplc-54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1rplc-57">
    <w:name w:val="cat-UserDefined grp-51 rplc-57"/>
    <w:basedOn w:val="DefaultParagraphFont"/>
  </w:style>
  <w:style w:type="character" w:customStyle="1" w:styleId="cat-UserDefinedgrp-56rplc-58">
    <w:name w:val="cat-UserDefined grp-56 rplc-58"/>
    <w:basedOn w:val="DefaultParagraphFont"/>
  </w:style>
  <w:style w:type="character" w:customStyle="1" w:styleId="cat-UserDefinedgrp-56rplc-60">
    <w:name w:val="cat-UserDefined grp-56 rplc-60"/>
    <w:basedOn w:val="DefaultParagraphFont"/>
  </w:style>
  <w:style w:type="character" w:customStyle="1" w:styleId="cat-UserDefinedgrp-51rplc-71">
    <w:name w:val="cat-UserDefined grp-51 rplc-71"/>
    <w:basedOn w:val="DefaultParagraphFont"/>
  </w:style>
  <w:style w:type="character" w:customStyle="1" w:styleId="cat-UserDefinedgrp-57rplc-74">
    <w:name w:val="cat-UserDefined grp-57 rplc-74"/>
    <w:basedOn w:val="DefaultParagraphFont"/>
  </w:style>
  <w:style w:type="character" w:customStyle="1" w:styleId="cat-UserDefinedgrp-56rplc-77">
    <w:name w:val="cat-UserDefined grp-56 rplc-77"/>
    <w:basedOn w:val="DefaultParagraphFont"/>
  </w:style>
  <w:style w:type="character" w:customStyle="1" w:styleId="cat-UserDefinedgrp-56rplc-79">
    <w:name w:val="cat-UserDefined grp-56 rplc-79"/>
    <w:basedOn w:val="DefaultParagraphFont"/>
  </w:style>
  <w:style w:type="character" w:customStyle="1" w:styleId="cat-UserDefinedgrp-56rplc-81">
    <w:name w:val="cat-UserDefined grp-56 rplc-81"/>
    <w:basedOn w:val="DefaultParagraphFont"/>
  </w:style>
  <w:style w:type="character" w:customStyle="1" w:styleId="cat-UserDefinedgrp-48rplc-86">
    <w:name w:val="cat-UserDefined grp-48 rplc-86"/>
    <w:basedOn w:val="DefaultParagraphFont"/>
  </w:style>
  <w:style w:type="character" w:customStyle="1" w:styleId="cat-UserDefinedgrp-58rplc-87">
    <w:name w:val="cat-UserDefined grp-58 rplc-87"/>
    <w:basedOn w:val="DefaultParagraphFont"/>
  </w:style>
  <w:style w:type="character" w:customStyle="1" w:styleId="cat-UserDefinedgrp-59rplc-90">
    <w:name w:val="cat-UserDefined grp-59 rplc-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ADDA7-2949-43C0-B963-C186836973E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